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ACF" w:rsidRDefault="00976ACF" w:rsidP="00976ACF">
      <w:pPr>
        <w:pStyle w:val="NormalnyWeb"/>
      </w:pPr>
      <w:r>
        <w:t>Kl. III</w:t>
      </w:r>
    </w:p>
    <w:p w:rsidR="00976ACF" w:rsidRDefault="00976ACF" w:rsidP="00976ACF">
      <w:pPr>
        <w:pStyle w:val="NormalnyWeb"/>
      </w:pPr>
      <w:r>
        <w:t>Matka bliska nam – sanktuarium Matki Bożej Płaczącej w Lublinie.</w:t>
      </w:r>
    </w:p>
    <w:p w:rsidR="00976ACF" w:rsidRDefault="00976ACF" w:rsidP="00976ACF">
      <w:pPr>
        <w:rPr>
          <w:rStyle w:val="Hipercze"/>
          <w:sz w:val="28"/>
          <w:szCs w:val="28"/>
        </w:rPr>
      </w:pPr>
      <w:hyperlink r:id="rId4" w:history="1">
        <w:r w:rsidRPr="00CF456A">
          <w:rPr>
            <w:rStyle w:val="Hipercze"/>
            <w:sz w:val="28"/>
            <w:szCs w:val="28"/>
          </w:rPr>
          <w:t>https://view.genial.ly/5ea65ccfd407580db91fa31e/interactive-content-sanktuarium-matki-bozej-placzacej-w-lublinie</w:t>
        </w:r>
      </w:hyperlink>
    </w:p>
    <w:p w:rsidR="00976ACF" w:rsidRDefault="00976ACF" w:rsidP="00976ACF">
      <w:pPr>
        <w:rPr>
          <w:sz w:val="28"/>
          <w:szCs w:val="28"/>
        </w:rPr>
      </w:pPr>
    </w:p>
    <w:p w:rsidR="000A2BC4" w:rsidRDefault="00976ACF">
      <w:r>
        <w:t>dla chętnych dzieci praca d. na str. 222.</w:t>
      </w:r>
      <w:bookmarkStart w:id="0" w:name="_GoBack"/>
      <w:bookmarkEnd w:id="0"/>
    </w:p>
    <w:sectPr w:rsidR="000A2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ACF"/>
    <w:rsid w:val="00976ACF"/>
    <w:rsid w:val="00DB4DDF"/>
    <w:rsid w:val="00DC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56A57-70D8-4C25-972F-FEA776A9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6A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6AC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7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genial.ly/5ea65ccfd407580db91fa31e/interactive-content-sanktuarium-matki-bozej-placzacej-w-lublin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307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2020-05-02T12:45:00Z</dcterms:created>
  <dcterms:modified xsi:type="dcterms:W3CDTF">2020-05-02T12:47:00Z</dcterms:modified>
</cp:coreProperties>
</file>